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6D59BD" w:rsidRDefault="006D59BD" w:rsidP="006D59BD">
      <w:r>
        <w:t>Разъяснены особенности применения на 2025 год дифференцированных по объемам потребления электрической энергии тарифов для населения и приравненных к нему категорий потребителей:</w:t>
      </w:r>
    </w:p>
    <w:p w:rsidR="006D59BD" w:rsidRDefault="006D59BD" w:rsidP="006D59BD">
      <w:r>
        <w:t>В Письме ФАС России от 28.02.2025 N ГМ/18229/25"О применении сезонного коэффициента" с</w:t>
      </w:r>
      <w:bookmarkStart w:id="0" w:name="_GoBack"/>
      <w:bookmarkEnd w:id="0"/>
      <w:r>
        <w:t>ообщается, в числе прочего, следующее:</w:t>
      </w:r>
    </w:p>
    <w:p w:rsidR="006D59BD" w:rsidRDefault="006D59BD" w:rsidP="006D59BD">
      <w:r>
        <w:t xml:space="preserve">перерасчет и последующее определение стоимости электрической энергии по диапазонам объемов потребления с учетом примененного сезонного коэффициента осуществляется в отношении оборудованных электроотопительными установками </w:t>
      </w:r>
      <w:proofErr w:type="spellStart"/>
      <w:r>
        <w:t>негазифицированных</w:t>
      </w:r>
      <w:proofErr w:type="spellEnd"/>
      <w:r>
        <w:t xml:space="preserve"> жилых и садовых домов, в том числе находящихся на земельных участках садоводческих или огороднических некоммерческих товариществ, при наличии зарегистрированного права собственности или иного предусмотренного законом права на указанные объекты;</w:t>
      </w:r>
    </w:p>
    <w:p w:rsidR="006D59BD" w:rsidRDefault="006D59BD" w:rsidP="006D59BD">
      <w:r>
        <w:t>при определении стоимости электрической энергии в отношении садоводческих или огороднических некоммерческих товариществ гарантирующие поставщики, энергосбытовые (энергоснабжающие) организации применяют диапазоны объемов потребления, установленные для данной группы потребителей, за исключением тех жилых и (или) садовых домов, в отношении которых заключены договоры энергоснабжения между потребителем и гарантирующим поставщиком, энергосбытовой (энергоснабжающей) организацией;</w:t>
      </w:r>
    </w:p>
    <w:p w:rsidR="006D59BD" w:rsidRDefault="006D59BD" w:rsidP="006D59BD">
      <w:r>
        <w:t>в целях проверки фактов газификации жилых (садовых) домов гарантирующие поставщики (энергосбытовые (энергоснабжающие) организации) могут обратиться в газораспределительные организации или органы местного самоуправления с запросом перечня жилых и садовых домов, подключенных к централизованной системе газоснабжения. Уполномоченным исполнительным органам субъектов РФ рекомендуется содействовать в предоставлении такой информации;</w:t>
      </w:r>
    </w:p>
    <w:p w:rsidR="006D59BD" w:rsidRDefault="006D59BD" w:rsidP="006D59BD">
      <w:r>
        <w:t>при выставлении счетов гарантирующими поставщиками, энергосбытовым (энергоснабжающим) организациям населению и приравненным потребителям, к объемам первого диапазона потребления электрической энергии применяется соответствующий тариф на электрическую энергию для первого диапазона. К объемам второго и третьего диапазонов потребления электрической энергии применяются соответствующие тарифы на электрическую энергию для второго и третьего диапазонов. Выставление поставщиками тарифа не соответствующего диапазона, а также применение тарифа второго и третьего диапазона ко всему объему потребления электрической энергии является нарушением действующего порядка ценообразования на розничном рынке электрической энергии и мощности.</w:t>
      </w:r>
    </w:p>
    <w:p w:rsidR="006D59BD" w:rsidRDefault="006D59BD" w:rsidP="006D59BD">
      <w:r>
        <w:t>Также отмечается, что к документам, подтверждающим отопление жилого (садового дома) с применением электроотопительной установки, могут быть отнесены, в частности:</w:t>
      </w:r>
    </w:p>
    <w:p w:rsidR="006D59BD" w:rsidRDefault="006D59BD" w:rsidP="006D59BD">
      <w:r>
        <w:t>технический паспорт жилого помещения;</w:t>
      </w:r>
    </w:p>
    <w:p w:rsidR="006D59BD" w:rsidRDefault="006D59BD" w:rsidP="006D59BD">
      <w:r>
        <w:t>проектная документация или иные документы технического учета, если в них отражен данный способ отопления;</w:t>
      </w:r>
    </w:p>
    <w:p w:rsidR="006D59BD" w:rsidRDefault="006D59BD" w:rsidP="006D59BD">
      <w:r>
        <w:t>технический паспорт на электроотопительную установку;</w:t>
      </w:r>
    </w:p>
    <w:p w:rsidR="006D59BD" w:rsidRDefault="006D59BD" w:rsidP="006D59BD">
      <w:r>
        <w:lastRenderedPageBreak/>
        <w:t>акт осмотра гарантирующего поставщика (энергосбытовой (энергоснабжающей) организации), с которым потребитель ведет расчеты, и (или) осмотром сетевой организации или осмотром представителя садоводческого или огороднического некоммерческого товарищества (в отношении садовых участков (домов), расчеты за электрическую энергию (мощность) по которым ведутся с указанным товариществом);</w:t>
      </w:r>
    </w:p>
    <w:p w:rsidR="00D27994" w:rsidRDefault="006D59BD" w:rsidP="006D59BD">
      <w:r>
        <w:t>иные документы, подтверждающие наличие соответствующего оборудования.</w:t>
      </w:r>
    </w:p>
    <w:p w:rsidR="000F5080" w:rsidRDefault="000F5080" w:rsidP="006D59BD"/>
    <w:p w:rsidR="000F5080" w:rsidRPr="00094DB9" w:rsidRDefault="000F5080" w:rsidP="006D59BD">
      <w:r>
        <w:t>20.03.2025</w:t>
      </w:r>
    </w:p>
    <w:sectPr w:rsidR="000F5080" w:rsidRPr="00094DB9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579ED"/>
    <w:rsid w:val="00082C23"/>
    <w:rsid w:val="0008642D"/>
    <w:rsid w:val="00094DB9"/>
    <w:rsid w:val="000A3BED"/>
    <w:rsid w:val="000D2882"/>
    <w:rsid w:val="000E3EAC"/>
    <w:rsid w:val="000F5080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20940"/>
    <w:rsid w:val="00231D60"/>
    <w:rsid w:val="00245822"/>
    <w:rsid w:val="002465B4"/>
    <w:rsid w:val="00252026"/>
    <w:rsid w:val="0027777E"/>
    <w:rsid w:val="00286F63"/>
    <w:rsid w:val="002928FD"/>
    <w:rsid w:val="002E0FA6"/>
    <w:rsid w:val="002E6A1A"/>
    <w:rsid w:val="002E6E81"/>
    <w:rsid w:val="002F608C"/>
    <w:rsid w:val="00333AA6"/>
    <w:rsid w:val="003420C4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D59BD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0755"/>
    <w:rsid w:val="007A622A"/>
    <w:rsid w:val="007C1362"/>
    <w:rsid w:val="007C17FB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337FF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51D50"/>
    <w:rsid w:val="00F5244C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0EFD-DD5F-47C5-B587-9C52FBBD7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19</cp:revision>
  <cp:lastPrinted>2023-03-29T05:01:00Z</cp:lastPrinted>
  <dcterms:created xsi:type="dcterms:W3CDTF">2023-03-22T13:40:00Z</dcterms:created>
  <dcterms:modified xsi:type="dcterms:W3CDTF">2025-03-25T05:55:00Z</dcterms:modified>
</cp:coreProperties>
</file>