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79" w:rsidRDefault="00227679" w:rsidP="00227679">
      <w:pPr>
        <w:jc w:val="center"/>
      </w:pPr>
      <w:r>
        <w:t>Просты</w:t>
      </w:r>
      <w:r w:rsidR="00EB6748">
        <w:t>е</w:t>
      </w:r>
      <w:bookmarkStart w:id="0" w:name="_GoBack"/>
      <w:bookmarkEnd w:id="0"/>
      <w:r>
        <w:t xml:space="preserve"> меры защиты граждан от мошенников.</w:t>
      </w:r>
    </w:p>
    <w:p w:rsidR="00227679" w:rsidRDefault="00227679" w:rsidP="00075FBE"/>
    <w:p w:rsidR="00B03829" w:rsidRPr="00A11FC6" w:rsidRDefault="00B03829" w:rsidP="0024144A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 xml:space="preserve">С 1 марта 2025 года гражданин может установить в своей кредитной истории </w:t>
      </w:r>
      <w:r w:rsidR="00A11FC6">
        <w:rPr>
          <w:sz w:val="27"/>
          <w:szCs w:val="27"/>
        </w:rPr>
        <w:t>з</w:t>
      </w:r>
      <w:r w:rsidRPr="00A11FC6">
        <w:rPr>
          <w:sz w:val="27"/>
          <w:szCs w:val="27"/>
        </w:rPr>
        <w:t>апрет на заключение с ним кредитными организациями и (или) микрофинансовыми организациями договоров потребительского кредита (займа).</w:t>
      </w:r>
    </w:p>
    <w:p w:rsidR="00B03829" w:rsidRPr="00A11FC6" w:rsidRDefault="00B03829" w:rsidP="00B03829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>В соответствии с п. 14 ст. 3 Федерального закона от 30.12.2004</w:t>
      </w:r>
      <w:r w:rsidR="00A11FC6" w:rsidRPr="00A11FC6">
        <w:rPr>
          <w:sz w:val="27"/>
          <w:szCs w:val="27"/>
        </w:rPr>
        <w:br/>
      </w:r>
      <w:r w:rsidRPr="00A11FC6">
        <w:rPr>
          <w:sz w:val="27"/>
          <w:szCs w:val="27"/>
        </w:rPr>
        <w:t>№ 218-ФЗ «О кредитных историях» запрет на заключение договоров потребительского займа (кредита) - мера, которую вы можете принять, чтобы ограничить заключение с вами указанных договоров (за некоторым исключением)</w:t>
      </w:r>
      <w:r w:rsidR="00A70EB1" w:rsidRPr="00A11FC6">
        <w:rPr>
          <w:sz w:val="27"/>
          <w:szCs w:val="27"/>
        </w:rPr>
        <w:t>.</w:t>
      </w:r>
      <w:r w:rsidRPr="00A11FC6">
        <w:rPr>
          <w:sz w:val="27"/>
          <w:szCs w:val="27"/>
        </w:rPr>
        <w:t xml:space="preserve"> Запрет устанавливают, чтобы защититься от мошеннических действий по оформлению потребительских займов (кредитов) третьими лицами, например, путем незаконного использования ваших персональных данных.</w:t>
      </w:r>
    </w:p>
    <w:p w:rsidR="00A70EB1" w:rsidRPr="00A11FC6" w:rsidRDefault="00A11FC6" w:rsidP="0024144A">
      <w:pPr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A70EB1" w:rsidRPr="00A11FC6">
        <w:rPr>
          <w:sz w:val="27"/>
          <w:szCs w:val="27"/>
        </w:rPr>
        <w:t xml:space="preserve">апрет может быть разным: по виду кредитора (кредитная или микрофинансовая организация), по способу обращения за займом или кредитом (в офисе, дистанционно либо только дистанционно). При желании можно установить полный </w:t>
      </w:r>
      <w:proofErr w:type="spellStart"/>
      <w:r w:rsidR="00A70EB1" w:rsidRPr="00A11FC6">
        <w:rPr>
          <w:sz w:val="27"/>
          <w:szCs w:val="27"/>
        </w:rPr>
        <w:t>самозапрет</w:t>
      </w:r>
      <w:proofErr w:type="spellEnd"/>
      <w:r w:rsidR="00A70EB1" w:rsidRPr="00A11FC6">
        <w:rPr>
          <w:sz w:val="27"/>
          <w:szCs w:val="27"/>
        </w:rPr>
        <w:t>, который будет распространятся на все условия.</w:t>
      </w:r>
    </w:p>
    <w:p w:rsidR="00B03829" w:rsidRPr="00A11FC6" w:rsidRDefault="00B03829" w:rsidP="0024144A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>Заявление о запрете подается физическим лицом во все квалифицированные бюро кредитных историй:</w:t>
      </w:r>
    </w:p>
    <w:p w:rsidR="00B03829" w:rsidRPr="00A11FC6" w:rsidRDefault="00B03829" w:rsidP="0024144A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>1) через многофункциональный центр предоставления государственных</w:t>
      </w:r>
      <w:r w:rsidR="008A38FC">
        <w:rPr>
          <w:sz w:val="27"/>
          <w:szCs w:val="27"/>
        </w:rPr>
        <w:br/>
      </w:r>
      <w:r w:rsidRPr="00A11FC6">
        <w:rPr>
          <w:sz w:val="27"/>
          <w:szCs w:val="27"/>
        </w:rPr>
        <w:t xml:space="preserve">и муниципальных услуг независимо от места жительства или места пребывания субъекта кредитной истории - физического лица при представлении субъектом кредитной истории - физическим лицом паспорта или иного документа, удостоверяющего личность; </w:t>
      </w:r>
    </w:p>
    <w:p w:rsidR="00B03829" w:rsidRPr="00A11FC6" w:rsidRDefault="00B03829" w:rsidP="0024144A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 xml:space="preserve">2) с использованием единого портала государственных </w:t>
      </w:r>
      <w:r w:rsidR="00A11FC6" w:rsidRPr="00A11FC6">
        <w:rPr>
          <w:sz w:val="27"/>
          <w:szCs w:val="27"/>
        </w:rPr>
        <w:br/>
      </w:r>
      <w:r w:rsidRPr="00A11FC6">
        <w:rPr>
          <w:sz w:val="27"/>
          <w:szCs w:val="27"/>
        </w:rPr>
        <w:t>и муниципальных услуг в форме электронного документа.</w:t>
      </w:r>
    </w:p>
    <w:p w:rsidR="007E05C3" w:rsidRPr="00A11FC6" w:rsidRDefault="00A70EB1" w:rsidP="007E05C3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>Также с</w:t>
      </w:r>
      <w:r w:rsidR="00B27717" w:rsidRPr="00A11FC6">
        <w:rPr>
          <w:sz w:val="27"/>
          <w:szCs w:val="27"/>
        </w:rPr>
        <w:t xml:space="preserve"> 1 июня 2025 года начнет действовать </w:t>
      </w:r>
      <w:r w:rsidR="002262D1" w:rsidRPr="00A11FC6">
        <w:rPr>
          <w:sz w:val="27"/>
          <w:szCs w:val="27"/>
        </w:rPr>
        <w:t>ряд новых правил,</w:t>
      </w:r>
      <w:r w:rsidR="00B27717" w:rsidRPr="00A11FC6">
        <w:rPr>
          <w:sz w:val="27"/>
          <w:szCs w:val="27"/>
        </w:rPr>
        <w:t xml:space="preserve"> нацеленных на борьбу с телефонными мошенниками.</w:t>
      </w:r>
    </w:p>
    <w:p w:rsidR="00B27717" w:rsidRPr="00A11FC6" w:rsidRDefault="002262D1" w:rsidP="007E05C3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 xml:space="preserve">- </w:t>
      </w:r>
      <w:r w:rsidR="00B27717" w:rsidRPr="00A11FC6">
        <w:rPr>
          <w:sz w:val="27"/>
          <w:szCs w:val="27"/>
        </w:rPr>
        <w:t xml:space="preserve">мобильным операторам и банкам, </w:t>
      </w:r>
      <w:proofErr w:type="spellStart"/>
      <w:r w:rsidR="00B27717" w:rsidRPr="00A11FC6">
        <w:rPr>
          <w:sz w:val="27"/>
          <w:szCs w:val="27"/>
        </w:rPr>
        <w:t>маркетплейсам</w:t>
      </w:r>
      <w:proofErr w:type="spellEnd"/>
      <w:r w:rsidR="00B27717" w:rsidRPr="00A11FC6">
        <w:rPr>
          <w:sz w:val="27"/>
          <w:szCs w:val="27"/>
        </w:rPr>
        <w:t>, государственным органам теперь будет запрещено уведомлять своих клиентов через иностранные мессенджеры.</w:t>
      </w:r>
    </w:p>
    <w:p w:rsidR="00B27717" w:rsidRPr="00A11FC6" w:rsidRDefault="002262D1" w:rsidP="007E05C3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 xml:space="preserve">- </w:t>
      </w:r>
      <w:r w:rsidR="00B27717" w:rsidRPr="00A11FC6">
        <w:rPr>
          <w:sz w:val="27"/>
          <w:szCs w:val="27"/>
        </w:rPr>
        <w:t>операторы смогут отправить человеку СМС с кодом для подтверждения чинности только после того, как телефонный звонок завершится. То есть мошенники не смогут удерживать внимание своей жертвы непрерывно – в этом случае код ему не придёт.</w:t>
      </w:r>
    </w:p>
    <w:p w:rsidR="00B27717" w:rsidRDefault="002262D1" w:rsidP="007E05C3">
      <w:pPr>
        <w:ind w:firstLine="709"/>
        <w:rPr>
          <w:sz w:val="27"/>
          <w:szCs w:val="27"/>
        </w:rPr>
      </w:pPr>
      <w:r w:rsidRPr="00A11FC6">
        <w:rPr>
          <w:sz w:val="27"/>
          <w:szCs w:val="27"/>
        </w:rPr>
        <w:t xml:space="preserve">- </w:t>
      </w:r>
      <w:r w:rsidR="00B27717" w:rsidRPr="00A11FC6">
        <w:rPr>
          <w:sz w:val="27"/>
          <w:szCs w:val="27"/>
        </w:rPr>
        <w:t xml:space="preserve">снять </w:t>
      </w:r>
      <w:proofErr w:type="spellStart"/>
      <w:r w:rsidR="00B27717" w:rsidRPr="00A11FC6">
        <w:rPr>
          <w:sz w:val="27"/>
          <w:szCs w:val="27"/>
        </w:rPr>
        <w:t>замозапрет</w:t>
      </w:r>
      <w:proofErr w:type="spellEnd"/>
      <w:r w:rsidR="00B27717" w:rsidRPr="00A11FC6">
        <w:rPr>
          <w:sz w:val="27"/>
          <w:szCs w:val="27"/>
        </w:rPr>
        <w:t xml:space="preserve"> на кредиты через «Госуслуги» </w:t>
      </w:r>
      <w:proofErr w:type="gramStart"/>
      <w:r w:rsidR="00B27717" w:rsidRPr="00A11FC6">
        <w:rPr>
          <w:sz w:val="27"/>
          <w:szCs w:val="27"/>
        </w:rPr>
        <w:t>станет сложнее для этого человеку понадобится</w:t>
      </w:r>
      <w:proofErr w:type="gramEnd"/>
      <w:r w:rsidR="00B27717" w:rsidRPr="00A11FC6">
        <w:rPr>
          <w:sz w:val="27"/>
          <w:szCs w:val="27"/>
        </w:rPr>
        <w:t xml:space="preserve"> усиленная квалифицированная электронная подпись. </w:t>
      </w:r>
    </w:p>
    <w:p w:rsidR="003A0408" w:rsidRDefault="003A0408" w:rsidP="007E05C3">
      <w:pPr>
        <w:ind w:firstLine="709"/>
        <w:rPr>
          <w:sz w:val="27"/>
          <w:szCs w:val="27"/>
        </w:rPr>
      </w:pPr>
    </w:p>
    <w:p w:rsidR="003A0408" w:rsidRPr="00A11FC6" w:rsidRDefault="003A0408" w:rsidP="007E05C3">
      <w:pPr>
        <w:ind w:firstLine="709"/>
        <w:rPr>
          <w:sz w:val="27"/>
          <w:szCs w:val="27"/>
        </w:rPr>
      </w:pPr>
      <w:r>
        <w:rPr>
          <w:sz w:val="27"/>
          <w:szCs w:val="27"/>
        </w:rPr>
        <w:t>27.06.2025</w:t>
      </w:r>
    </w:p>
    <w:p w:rsidR="00B27717" w:rsidRDefault="00B27717" w:rsidP="00A70EB1">
      <w:pPr>
        <w:spacing w:line="240" w:lineRule="exact"/>
        <w:ind w:firstLine="709"/>
      </w:pPr>
    </w:p>
    <w:p w:rsidR="00843E68" w:rsidRDefault="00843E68" w:rsidP="00770B19">
      <w:pPr>
        <w:ind w:firstLine="0"/>
      </w:pPr>
    </w:p>
    <w:p w:rsidR="003A0408" w:rsidRPr="0024144A" w:rsidRDefault="003A0408" w:rsidP="00770B19">
      <w:pPr>
        <w:ind w:firstLine="0"/>
        <w:rPr>
          <w:sz w:val="20"/>
          <w:szCs w:val="20"/>
        </w:rPr>
      </w:pPr>
    </w:p>
    <w:sectPr w:rsidR="003A0408" w:rsidRPr="0024144A" w:rsidSect="0024144A">
      <w:headerReference w:type="default" r:id="rId8"/>
      <w:pgSz w:w="11906" w:h="16838" w:code="9"/>
      <w:pgMar w:top="851" w:right="849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CC" w:rsidRDefault="003B03CC" w:rsidP="004E74E4">
      <w:r>
        <w:separator/>
      </w:r>
    </w:p>
  </w:endnote>
  <w:endnote w:type="continuationSeparator" w:id="0">
    <w:p w:rsidR="003B03CC" w:rsidRDefault="003B03CC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CC" w:rsidRDefault="003B03CC" w:rsidP="004E74E4">
      <w:r>
        <w:separator/>
      </w:r>
    </w:p>
  </w:footnote>
  <w:footnote w:type="continuationSeparator" w:id="0">
    <w:p w:rsidR="003B03CC" w:rsidRDefault="003B03CC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9F2BB0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3A0408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629"/>
    <w:multiLevelType w:val="multilevel"/>
    <w:tmpl w:val="AC94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73BF2"/>
    <w:multiLevelType w:val="multilevel"/>
    <w:tmpl w:val="E99C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AE193A"/>
    <w:multiLevelType w:val="multilevel"/>
    <w:tmpl w:val="E47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06F86"/>
    <w:multiLevelType w:val="multilevel"/>
    <w:tmpl w:val="815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6970884"/>
    <w:multiLevelType w:val="multilevel"/>
    <w:tmpl w:val="D778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D36D0"/>
    <w:multiLevelType w:val="multilevel"/>
    <w:tmpl w:val="2B1E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2615D"/>
    <w:multiLevelType w:val="multilevel"/>
    <w:tmpl w:val="E8F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80A36"/>
    <w:multiLevelType w:val="multilevel"/>
    <w:tmpl w:val="EFBC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257EC"/>
    <w:rsid w:val="00131F72"/>
    <w:rsid w:val="001518CD"/>
    <w:rsid w:val="001639DF"/>
    <w:rsid w:val="001828A8"/>
    <w:rsid w:val="001A354A"/>
    <w:rsid w:val="001B3570"/>
    <w:rsid w:val="001E3118"/>
    <w:rsid w:val="001E4FBD"/>
    <w:rsid w:val="001F3875"/>
    <w:rsid w:val="00207552"/>
    <w:rsid w:val="002262D1"/>
    <w:rsid w:val="00227679"/>
    <w:rsid w:val="00231D60"/>
    <w:rsid w:val="0024144A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A0408"/>
    <w:rsid w:val="003B03CC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3F0C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05C3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80478"/>
    <w:rsid w:val="008843FE"/>
    <w:rsid w:val="00895C53"/>
    <w:rsid w:val="008A023C"/>
    <w:rsid w:val="008A1D4B"/>
    <w:rsid w:val="008A38FC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9F2BB0"/>
    <w:rsid w:val="00A11FC6"/>
    <w:rsid w:val="00A70EB1"/>
    <w:rsid w:val="00A7186A"/>
    <w:rsid w:val="00A77790"/>
    <w:rsid w:val="00A850F1"/>
    <w:rsid w:val="00A856D9"/>
    <w:rsid w:val="00A86C37"/>
    <w:rsid w:val="00AA3980"/>
    <w:rsid w:val="00AB1B91"/>
    <w:rsid w:val="00AE0FA4"/>
    <w:rsid w:val="00AE2605"/>
    <w:rsid w:val="00AE4C6F"/>
    <w:rsid w:val="00B03829"/>
    <w:rsid w:val="00B13BFC"/>
    <w:rsid w:val="00B27717"/>
    <w:rsid w:val="00B277BF"/>
    <w:rsid w:val="00B34E73"/>
    <w:rsid w:val="00B62727"/>
    <w:rsid w:val="00B73D0A"/>
    <w:rsid w:val="00B753C5"/>
    <w:rsid w:val="00B92DF6"/>
    <w:rsid w:val="00B93A57"/>
    <w:rsid w:val="00BB3FFC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EB6748"/>
    <w:rsid w:val="00F179AA"/>
    <w:rsid w:val="00F51D50"/>
    <w:rsid w:val="00F5244C"/>
    <w:rsid w:val="00F5703E"/>
    <w:rsid w:val="00F85FF4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ACFC-DF89-4A8F-A5AA-C744AA94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24</cp:revision>
  <cp:lastPrinted>2021-06-30T14:16:00Z</cp:lastPrinted>
  <dcterms:created xsi:type="dcterms:W3CDTF">2023-03-22T13:40:00Z</dcterms:created>
  <dcterms:modified xsi:type="dcterms:W3CDTF">2025-06-27T07:26:00Z</dcterms:modified>
</cp:coreProperties>
</file>